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F7" w:rsidRDefault="00EF0101" w:rsidP="00AC0B66">
      <w:pPr>
        <w:autoSpaceDE w:val="0"/>
        <w:autoSpaceDN w:val="0"/>
        <w:adjustRightInd w:val="0"/>
        <w:spacing w:after="0" w:line="240" w:lineRule="auto"/>
        <w:jc w:val="center"/>
        <w:rPr>
          <w:rFonts w:cs="Arial-BoldMT"/>
          <w:b/>
          <w:bCs/>
          <w:color w:val="333E48"/>
        </w:rPr>
      </w:pPr>
      <w:r>
        <w:rPr>
          <w:rFonts w:cs="Arial-BoldMT"/>
          <w:b/>
          <w:bCs/>
          <w:color w:val="333E48"/>
        </w:rPr>
        <w:t xml:space="preserve">Question fréquentes - Programme </w:t>
      </w:r>
      <w:r w:rsidR="002350CC">
        <w:rPr>
          <w:rFonts w:cs="Arial-BoldMT"/>
          <w:b/>
          <w:bCs/>
          <w:color w:val="333E48"/>
        </w:rPr>
        <w:t>Régional</w:t>
      </w:r>
      <w:r>
        <w:rPr>
          <w:rFonts w:cs="Arial-BoldMT"/>
          <w:b/>
          <w:bCs/>
          <w:color w:val="333E48"/>
        </w:rPr>
        <w:t xml:space="preserve"> </w:t>
      </w:r>
    </w:p>
    <w:p w:rsidR="00EF0101" w:rsidRPr="0065124A" w:rsidRDefault="00EF0101" w:rsidP="00AC0B66">
      <w:pPr>
        <w:autoSpaceDE w:val="0"/>
        <w:autoSpaceDN w:val="0"/>
        <w:adjustRightInd w:val="0"/>
        <w:spacing w:after="0" w:line="240" w:lineRule="auto"/>
        <w:jc w:val="center"/>
        <w:rPr>
          <w:rFonts w:cs="Arial-BoldMT"/>
          <w:b/>
          <w:bCs/>
          <w:color w:val="333E48"/>
        </w:rPr>
      </w:pPr>
    </w:p>
    <w:tbl>
      <w:tblPr>
        <w:tblStyle w:val="Grilledutableau"/>
        <w:tblW w:w="0" w:type="auto"/>
        <w:tblLook w:val="04A0" w:firstRow="1" w:lastRow="0" w:firstColumn="1" w:lastColumn="0" w:noHBand="0" w:noVBand="1"/>
      </w:tblPr>
      <w:tblGrid>
        <w:gridCol w:w="4315"/>
        <w:gridCol w:w="4315"/>
      </w:tblGrid>
      <w:tr w:rsidR="007B01F7" w:rsidTr="007B01F7">
        <w:tc>
          <w:tcPr>
            <w:tcW w:w="4315" w:type="dxa"/>
            <w:shd w:val="clear" w:color="auto" w:fill="BFBFBF" w:themeFill="background1" w:themeFillShade="BF"/>
          </w:tcPr>
          <w:p w:rsidR="007B01F7" w:rsidRPr="007B01F7" w:rsidRDefault="007B01F7" w:rsidP="007B01F7">
            <w:pPr>
              <w:autoSpaceDE w:val="0"/>
              <w:autoSpaceDN w:val="0"/>
              <w:adjustRightInd w:val="0"/>
              <w:jc w:val="center"/>
              <w:rPr>
                <w:rFonts w:cs="Arial-BoldMT"/>
                <w:b/>
                <w:bCs/>
                <w:color w:val="333E48"/>
              </w:rPr>
            </w:pPr>
            <w:r w:rsidRPr="007B01F7">
              <w:rPr>
                <w:rFonts w:cs="Arial-BoldMT"/>
                <w:b/>
                <w:bCs/>
                <w:color w:val="333E48"/>
              </w:rPr>
              <w:t>Questions</w:t>
            </w:r>
          </w:p>
        </w:tc>
        <w:tc>
          <w:tcPr>
            <w:tcW w:w="4315" w:type="dxa"/>
            <w:shd w:val="clear" w:color="auto" w:fill="BFBFBF" w:themeFill="background1" w:themeFillShade="BF"/>
          </w:tcPr>
          <w:p w:rsidR="007B01F7" w:rsidRPr="007B01F7" w:rsidRDefault="007B01F7" w:rsidP="007B01F7">
            <w:pPr>
              <w:autoSpaceDE w:val="0"/>
              <w:autoSpaceDN w:val="0"/>
              <w:adjustRightInd w:val="0"/>
              <w:jc w:val="center"/>
              <w:rPr>
                <w:rFonts w:cs="ArialMT"/>
                <w:b/>
                <w:color w:val="333E48"/>
              </w:rPr>
            </w:pPr>
            <w:r w:rsidRPr="007B01F7">
              <w:rPr>
                <w:rFonts w:cs="ArialMT"/>
                <w:b/>
                <w:color w:val="333E48"/>
              </w:rPr>
              <w:t>Réponses</w:t>
            </w:r>
          </w:p>
        </w:tc>
      </w:tr>
      <w:tr w:rsidR="007B01F7" w:rsidTr="007B01F7">
        <w:tc>
          <w:tcPr>
            <w:tcW w:w="4315" w:type="dxa"/>
          </w:tcPr>
          <w:p w:rsidR="002350CC" w:rsidRPr="0031660F" w:rsidRDefault="007B01F7" w:rsidP="002350CC">
            <w:pPr>
              <w:autoSpaceDE w:val="0"/>
              <w:autoSpaceDN w:val="0"/>
              <w:adjustRightInd w:val="0"/>
              <w:rPr>
                <w:rFonts w:cs="LiberationSans-Bold"/>
                <w:b/>
                <w:bCs/>
              </w:rPr>
            </w:pPr>
            <w:r w:rsidRPr="0031660F">
              <w:rPr>
                <w:rFonts w:cs="Arial-BoldMT"/>
                <w:b/>
                <w:bCs/>
              </w:rPr>
              <w:t>Q1</w:t>
            </w:r>
            <w:r w:rsidRPr="0031660F">
              <w:rPr>
                <w:rFonts w:cs="Arial-BoldMT"/>
                <w:b/>
                <w:bCs/>
              </w:rPr>
              <w:t xml:space="preserve">. </w:t>
            </w:r>
            <w:r w:rsidR="002350CC" w:rsidRPr="0031660F">
              <w:rPr>
                <w:rFonts w:cs="LiberationSans-Bold"/>
                <w:b/>
                <w:bCs/>
              </w:rPr>
              <w:t>Est-ce que les athlètes peuvent porter des cuissards en compétition ?</w:t>
            </w:r>
          </w:p>
          <w:p w:rsidR="007B01F7" w:rsidRPr="0031660F" w:rsidRDefault="007B01F7" w:rsidP="007B01F7">
            <w:pPr>
              <w:autoSpaceDE w:val="0"/>
              <w:autoSpaceDN w:val="0"/>
              <w:adjustRightInd w:val="0"/>
              <w:rPr>
                <w:rFonts w:cs="Arial-BoldMT"/>
                <w:b/>
                <w:bCs/>
              </w:rPr>
            </w:pPr>
          </w:p>
          <w:p w:rsidR="007B01F7" w:rsidRPr="0031660F" w:rsidRDefault="007B01F7" w:rsidP="00AC0B66">
            <w:pPr>
              <w:autoSpaceDE w:val="0"/>
              <w:autoSpaceDN w:val="0"/>
              <w:adjustRightInd w:val="0"/>
              <w:jc w:val="center"/>
              <w:rPr>
                <w:rFonts w:cs="Arial-BoldMT"/>
                <w:b/>
                <w:bCs/>
              </w:rPr>
            </w:pPr>
          </w:p>
        </w:tc>
        <w:tc>
          <w:tcPr>
            <w:tcW w:w="4315" w:type="dxa"/>
          </w:tcPr>
          <w:p w:rsidR="007B01F7" w:rsidRPr="0031660F" w:rsidRDefault="007B01F7" w:rsidP="007B01F7">
            <w:pPr>
              <w:autoSpaceDE w:val="0"/>
              <w:autoSpaceDN w:val="0"/>
              <w:adjustRightInd w:val="0"/>
              <w:rPr>
                <w:rFonts w:cs="Arial-BoldMT"/>
                <w:b/>
                <w:bCs/>
              </w:rPr>
            </w:pPr>
            <w:r w:rsidRPr="0031660F">
              <w:rPr>
                <w:rFonts w:cs="ArialMT"/>
                <w:b/>
              </w:rPr>
              <w:t>R1</w:t>
            </w:r>
            <w:r w:rsidRPr="0031660F">
              <w:rPr>
                <w:rFonts w:cs="ArialMT"/>
                <w:b/>
              </w:rPr>
              <w:t xml:space="preserve">. </w:t>
            </w:r>
            <w:r w:rsidRPr="0031660F">
              <w:rPr>
                <w:rFonts w:cs="ArialMT"/>
                <w:b/>
              </w:rPr>
              <w:t xml:space="preserve"> </w:t>
            </w:r>
            <w:r w:rsidR="00A22FE6" w:rsidRPr="0031660F">
              <w:rPr>
                <w:rFonts w:cs="LiberationSans-Bold"/>
                <w:b/>
                <w:bCs/>
              </w:rPr>
              <w:t>OUI pour le circuit régional; un note sera communiquée pour officialiser la tenue vestimentaire.</w:t>
            </w:r>
          </w:p>
          <w:p w:rsidR="007B01F7" w:rsidRPr="0031660F" w:rsidRDefault="007B01F7" w:rsidP="00AC0B66">
            <w:pPr>
              <w:autoSpaceDE w:val="0"/>
              <w:autoSpaceDN w:val="0"/>
              <w:adjustRightInd w:val="0"/>
              <w:jc w:val="center"/>
              <w:rPr>
                <w:rFonts w:cs="Arial-BoldMT"/>
                <w:b/>
                <w:bCs/>
              </w:rPr>
            </w:pPr>
          </w:p>
        </w:tc>
      </w:tr>
      <w:tr w:rsidR="007B01F7" w:rsidTr="007B01F7">
        <w:tc>
          <w:tcPr>
            <w:tcW w:w="4315" w:type="dxa"/>
          </w:tcPr>
          <w:p w:rsidR="00A22FE6" w:rsidRPr="0031660F" w:rsidRDefault="007B01F7" w:rsidP="00A22FE6">
            <w:pPr>
              <w:autoSpaceDE w:val="0"/>
              <w:autoSpaceDN w:val="0"/>
              <w:adjustRightInd w:val="0"/>
              <w:rPr>
                <w:rFonts w:cs="LiberationSans-Bold"/>
                <w:b/>
                <w:bCs/>
              </w:rPr>
            </w:pPr>
            <w:r w:rsidRPr="0031660F">
              <w:rPr>
                <w:rFonts w:cs="ArialMT"/>
                <w:b/>
              </w:rPr>
              <w:t>Q2</w:t>
            </w:r>
            <w:r w:rsidRPr="0031660F">
              <w:rPr>
                <w:rFonts w:cs="ArialMT"/>
                <w:b/>
              </w:rPr>
              <w:t>.</w:t>
            </w:r>
            <w:r w:rsidRPr="0031660F">
              <w:rPr>
                <w:rFonts w:cs="ArialMT"/>
                <w:b/>
              </w:rPr>
              <w:t xml:space="preserve"> </w:t>
            </w:r>
            <w:r w:rsidR="00A22FE6" w:rsidRPr="0031660F">
              <w:rPr>
                <w:rFonts w:cs="LiberationSans-Bold"/>
                <w:b/>
                <w:bCs/>
              </w:rPr>
              <w:t>En R5, au sol, que veut-on dire par Saut grand écart ''impulsion'' ?</w:t>
            </w:r>
          </w:p>
          <w:p w:rsidR="007B01F7" w:rsidRPr="0031660F" w:rsidRDefault="007B01F7" w:rsidP="007B01F7">
            <w:pPr>
              <w:autoSpaceDE w:val="0"/>
              <w:autoSpaceDN w:val="0"/>
              <w:adjustRightInd w:val="0"/>
              <w:rPr>
                <w:rFonts w:cs="Arial-BoldMT"/>
                <w:b/>
                <w:bCs/>
              </w:rPr>
            </w:pPr>
          </w:p>
          <w:p w:rsidR="007B01F7" w:rsidRPr="0031660F" w:rsidRDefault="007B01F7" w:rsidP="00AC0B66">
            <w:pPr>
              <w:autoSpaceDE w:val="0"/>
              <w:autoSpaceDN w:val="0"/>
              <w:adjustRightInd w:val="0"/>
              <w:jc w:val="center"/>
              <w:rPr>
                <w:rFonts w:cs="Arial-BoldMT"/>
                <w:b/>
                <w:bCs/>
              </w:rPr>
            </w:pPr>
          </w:p>
        </w:tc>
        <w:tc>
          <w:tcPr>
            <w:tcW w:w="4315" w:type="dxa"/>
          </w:tcPr>
          <w:p w:rsidR="007B01F7" w:rsidRPr="0031660F" w:rsidRDefault="007B01F7" w:rsidP="007B01F7">
            <w:pPr>
              <w:autoSpaceDE w:val="0"/>
              <w:autoSpaceDN w:val="0"/>
              <w:adjustRightInd w:val="0"/>
              <w:rPr>
                <w:rFonts w:cs="Arial-BoldMT"/>
                <w:b/>
                <w:bCs/>
              </w:rPr>
            </w:pPr>
            <w:r w:rsidRPr="0031660F">
              <w:rPr>
                <w:rFonts w:cs="ArialMT"/>
                <w:b/>
              </w:rPr>
              <w:t>R2</w:t>
            </w:r>
            <w:r w:rsidRPr="0031660F">
              <w:rPr>
                <w:rFonts w:cs="ArialMT"/>
                <w:b/>
              </w:rPr>
              <w:t>.</w:t>
            </w:r>
            <w:r w:rsidRPr="0031660F">
              <w:rPr>
                <w:rFonts w:cs="ArialMT"/>
                <w:b/>
              </w:rPr>
              <w:t xml:space="preserve"> </w:t>
            </w:r>
            <w:r w:rsidR="00A22FE6" w:rsidRPr="0031660F">
              <w:rPr>
                <w:rFonts w:cs="LiberationSans-Bold"/>
                <w:b/>
                <w:bCs/>
              </w:rPr>
              <w:t>C’est une erreur de texte, nous cherchons un saut grand écart.</w:t>
            </w:r>
          </w:p>
          <w:p w:rsidR="007B01F7" w:rsidRPr="0031660F" w:rsidRDefault="007B01F7" w:rsidP="00AC0B66">
            <w:pPr>
              <w:autoSpaceDE w:val="0"/>
              <w:autoSpaceDN w:val="0"/>
              <w:adjustRightInd w:val="0"/>
              <w:jc w:val="center"/>
              <w:rPr>
                <w:rFonts w:cs="Arial-BoldMT"/>
                <w:b/>
                <w:bCs/>
              </w:rPr>
            </w:pPr>
          </w:p>
        </w:tc>
      </w:tr>
      <w:tr w:rsidR="007B01F7" w:rsidTr="007B01F7">
        <w:tc>
          <w:tcPr>
            <w:tcW w:w="4315" w:type="dxa"/>
          </w:tcPr>
          <w:p w:rsidR="00A22FE6" w:rsidRPr="0031660F" w:rsidRDefault="007B01F7" w:rsidP="00A22FE6">
            <w:pPr>
              <w:autoSpaceDE w:val="0"/>
              <w:autoSpaceDN w:val="0"/>
              <w:adjustRightInd w:val="0"/>
              <w:rPr>
                <w:rFonts w:cs="LiberationSans-Bold"/>
                <w:b/>
                <w:bCs/>
              </w:rPr>
            </w:pPr>
            <w:r w:rsidRPr="0031660F">
              <w:rPr>
                <w:rFonts w:cs="ArialMT"/>
                <w:b/>
              </w:rPr>
              <w:t xml:space="preserve">Q3 </w:t>
            </w:r>
            <w:r w:rsidR="00A22FE6" w:rsidRPr="0031660F">
              <w:rPr>
                <w:rFonts w:cs="LiberationSans-Bold"/>
                <w:b/>
                <w:bCs/>
              </w:rPr>
              <w:t>Est-ce que les balancés aux barres sont des élans supplémentaires ?</w:t>
            </w:r>
          </w:p>
          <w:p w:rsidR="007B01F7" w:rsidRPr="0031660F" w:rsidRDefault="007B01F7" w:rsidP="007B01F7">
            <w:pPr>
              <w:autoSpaceDE w:val="0"/>
              <w:autoSpaceDN w:val="0"/>
              <w:adjustRightInd w:val="0"/>
              <w:rPr>
                <w:rFonts w:cs="Arial-BoldMT"/>
                <w:b/>
                <w:bCs/>
              </w:rPr>
            </w:pPr>
          </w:p>
          <w:p w:rsidR="007B01F7" w:rsidRPr="0031660F" w:rsidRDefault="007B01F7" w:rsidP="00AC0B66">
            <w:pPr>
              <w:autoSpaceDE w:val="0"/>
              <w:autoSpaceDN w:val="0"/>
              <w:adjustRightInd w:val="0"/>
              <w:jc w:val="center"/>
              <w:rPr>
                <w:rFonts w:cs="Arial-BoldMT"/>
                <w:b/>
                <w:bCs/>
              </w:rPr>
            </w:pPr>
          </w:p>
        </w:tc>
        <w:tc>
          <w:tcPr>
            <w:tcW w:w="4315" w:type="dxa"/>
          </w:tcPr>
          <w:p w:rsidR="007B01F7" w:rsidRPr="0031660F" w:rsidRDefault="007B01F7" w:rsidP="007B01F7">
            <w:pPr>
              <w:autoSpaceDE w:val="0"/>
              <w:autoSpaceDN w:val="0"/>
              <w:adjustRightInd w:val="0"/>
              <w:rPr>
                <w:rFonts w:cs="Arial-BoldMT"/>
                <w:b/>
                <w:bCs/>
              </w:rPr>
            </w:pPr>
            <w:r w:rsidRPr="0031660F">
              <w:rPr>
                <w:rFonts w:cs="ArialMT"/>
                <w:b/>
              </w:rPr>
              <w:t>R3</w:t>
            </w:r>
            <w:r w:rsidRPr="0031660F">
              <w:rPr>
                <w:rFonts w:cs="ArialMT"/>
                <w:b/>
              </w:rPr>
              <w:t>.</w:t>
            </w:r>
            <w:r w:rsidRPr="0031660F">
              <w:rPr>
                <w:rFonts w:cs="ArialMT"/>
                <w:b/>
              </w:rPr>
              <w:t xml:space="preserve"> </w:t>
            </w:r>
            <w:r w:rsidR="00A22FE6" w:rsidRPr="0031660F">
              <w:rPr>
                <w:rFonts w:cs="LiberationSans-Bold"/>
                <w:b/>
                <w:bCs/>
              </w:rPr>
              <w:t>Non, en régional l’ajout de balancés N’est pas considéré comme élan supplémentaire.</w:t>
            </w:r>
          </w:p>
          <w:p w:rsidR="007B01F7" w:rsidRPr="0031660F" w:rsidRDefault="007B01F7" w:rsidP="00AC0B66">
            <w:pPr>
              <w:autoSpaceDE w:val="0"/>
              <w:autoSpaceDN w:val="0"/>
              <w:adjustRightInd w:val="0"/>
              <w:jc w:val="center"/>
              <w:rPr>
                <w:rFonts w:cs="Arial-BoldMT"/>
                <w:b/>
                <w:bCs/>
              </w:rPr>
            </w:pPr>
          </w:p>
        </w:tc>
      </w:tr>
      <w:tr w:rsidR="00A22FE6" w:rsidTr="007B01F7">
        <w:tc>
          <w:tcPr>
            <w:tcW w:w="4315" w:type="dxa"/>
          </w:tcPr>
          <w:p w:rsidR="00A22FE6" w:rsidRPr="0031660F" w:rsidRDefault="00A22FE6" w:rsidP="00A22FE6">
            <w:pPr>
              <w:autoSpaceDE w:val="0"/>
              <w:autoSpaceDN w:val="0"/>
              <w:adjustRightInd w:val="0"/>
              <w:rPr>
                <w:rFonts w:cs="ArialMT"/>
                <w:b/>
              </w:rPr>
            </w:pPr>
            <w:r w:rsidRPr="0031660F">
              <w:rPr>
                <w:rFonts w:cs="ArialMT"/>
                <w:b/>
              </w:rPr>
              <w:t>Q4 Les bonis sont-ils accordés</w:t>
            </w:r>
            <w:r w:rsidR="0031660F" w:rsidRPr="0031660F">
              <w:rPr>
                <w:rFonts w:cs="ArialMT"/>
                <w:b/>
              </w:rPr>
              <w:t xml:space="preserve"> plus d’une fois</w:t>
            </w:r>
          </w:p>
        </w:tc>
        <w:tc>
          <w:tcPr>
            <w:tcW w:w="4315" w:type="dxa"/>
          </w:tcPr>
          <w:p w:rsidR="00A22FE6" w:rsidRPr="0031660F" w:rsidRDefault="0031660F" w:rsidP="007B01F7">
            <w:pPr>
              <w:autoSpaceDE w:val="0"/>
              <w:autoSpaceDN w:val="0"/>
              <w:adjustRightInd w:val="0"/>
              <w:rPr>
                <w:rFonts w:cs="ArialMT"/>
                <w:b/>
              </w:rPr>
            </w:pPr>
            <w:r w:rsidRPr="0031660F">
              <w:rPr>
                <w:rFonts w:cs="ArialMT"/>
                <w:b/>
              </w:rPr>
              <w:t xml:space="preserve">R4. Les bonis ne sont accordés qu’une fois par principe.  Ex. Entrée par bascule  et longue bascule ne recevront qu’un seul boni de +0.2. </w:t>
            </w:r>
          </w:p>
        </w:tc>
      </w:tr>
    </w:tbl>
    <w:p w:rsidR="00AC0B66" w:rsidRDefault="00AC0B66" w:rsidP="00AA7528">
      <w:pPr>
        <w:autoSpaceDE w:val="0"/>
        <w:autoSpaceDN w:val="0"/>
        <w:adjustRightInd w:val="0"/>
        <w:spacing w:after="0" w:line="240" w:lineRule="auto"/>
        <w:rPr>
          <w:rFonts w:cs="Arial-BoldMT"/>
          <w:b/>
          <w:bCs/>
          <w:color w:val="333E48"/>
        </w:rPr>
      </w:pPr>
    </w:p>
    <w:p w:rsidR="00EF0101" w:rsidRPr="0065124A" w:rsidRDefault="00EF0101" w:rsidP="00AA7528">
      <w:pPr>
        <w:autoSpaceDE w:val="0"/>
        <w:autoSpaceDN w:val="0"/>
        <w:adjustRightInd w:val="0"/>
        <w:spacing w:after="0" w:line="240" w:lineRule="auto"/>
        <w:rPr>
          <w:rFonts w:cs="Arial-BoldMT"/>
          <w:b/>
          <w:bCs/>
          <w:color w:val="333E48"/>
        </w:rPr>
      </w:pPr>
    </w:p>
    <w:p w:rsidR="0032134E" w:rsidRDefault="00EF0101" w:rsidP="00EF0101">
      <w:pPr>
        <w:autoSpaceDE w:val="0"/>
        <w:autoSpaceDN w:val="0"/>
        <w:adjustRightInd w:val="0"/>
        <w:spacing w:after="0" w:line="240" w:lineRule="auto"/>
        <w:jc w:val="center"/>
        <w:rPr>
          <w:rFonts w:cs="Arial-BoldMT"/>
          <w:b/>
          <w:bCs/>
          <w:color w:val="333E48"/>
        </w:rPr>
      </w:pPr>
      <w:r>
        <w:rPr>
          <w:rFonts w:cs="Arial-BoldMT"/>
          <w:b/>
          <w:bCs/>
          <w:color w:val="333E48"/>
        </w:rPr>
        <w:t xml:space="preserve">Commentaires Programme </w:t>
      </w:r>
      <w:r w:rsidR="00A22FE6">
        <w:rPr>
          <w:rFonts w:cs="Arial-BoldMT"/>
          <w:b/>
          <w:bCs/>
          <w:color w:val="333E48"/>
        </w:rPr>
        <w:t>Régional</w:t>
      </w:r>
    </w:p>
    <w:p w:rsidR="0031660F" w:rsidRPr="0065124A" w:rsidRDefault="0031660F" w:rsidP="00EF0101">
      <w:pPr>
        <w:autoSpaceDE w:val="0"/>
        <w:autoSpaceDN w:val="0"/>
        <w:adjustRightInd w:val="0"/>
        <w:spacing w:after="0" w:line="240" w:lineRule="auto"/>
        <w:jc w:val="center"/>
        <w:rPr>
          <w:rFonts w:cs="Arial-BoldMT"/>
          <w:b/>
          <w:bCs/>
          <w:color w:val="333E48"/>
        </w:rPr>
      </w:pPr>
    </w:p>
    <w:tbl>
      <w:tblPr>
        <w:tblStyle w:val="Grilledutableau"/>
        <w:tblW w:w="0" w:type="auto"/>
        <w:tblLayout w:type="fixed"/>
        <w:tblLook w:val="04A0" w:firstRow="1" w:lastRow="0" w:firstColumn="1" w:lastColumn="0" w:noHBand="0" w:noVBand="1"/>
      </w:tblPr>
      <w:tblGrid>
        <w:gridCol w:w="2122"/>
        <w:gridCol w:w="6508"/>
      </w:tblGrid>
      <w:tr w:rsidR="00EF0101" w:rsidTr="00EF0101">
        <w:tc>
          <w:tcPr>
            <w:tcW w:w="2122" w:type="dxa"/>
          </w:tcPr>
          <w:p w:rsidR="00EF0101" w:rsidRPr="0031660F" w:rsidRDefault="00A22FE6" w:rsidP="00EF0101">
            <w:pPr>
              <w:autoSpaceDE w:val="0"/>
              <w:autoSpaceDN w:val="0"/>
              <w:adjustRightInd w:val="0"/>
              <w:rPr>
                <w:rFonts w:cs="Arial-BoldMT"/>
                <w:b/>
                <w:bCs/>
              </w:rPr>
            </w:pPr>
            <w:r w:rsidRPr="0031660F">
              <w:rPr>
                <w:rFonts w:cs="Arial-BoldMT"/>
                <w:b/>
                <w:bCs/>
              </w:rPr>
              <w:t>Généralité</w:t>
            </w:r>
          </w:p>
          <w:p w:rsidR="00EF0101" w:rsidRPr="0031660F" w:rsidRDefault="00EF0101" w:rsidP="00AA7528">
            <w:pPr>
              <w:autoSpaceDE w:val="0"/>
              <w:autoSpaceDN w:val="0"/>
              <w:adjustRightInd w:val="0"/>
              <w:rPr>
                <w:rFonts w:cs="ArialMT"/>
                <w:b/>
              </w:rPr>
            </w:pPr>
          </w:p>
        </w:tc>
        <w:tc>
          <w:tcPr>
            <w:tcW w:w="6508" w:type="dxa"/>
          </w:tcPr>
          <w:p w:rsidR="00EF0101" w:rsidRPr="0031660F" w:rsidRDefault="00A22FE6" w:rsidP="00EF0101">
            <w:pPr>
              <w:autoSpaceDE w:val="0"/>
              <w:autoSpaceDN w:val="0"/>
              <w:adjustRightInd w:val="0"/>
              <w:rPr>
                <w:rFonts w:cs="Arial-BoldMT"/>
                <w:b/>
                <w:bCs/>
              </w:rPr>
            </w:pPr>
            <w:r w:rsidRPr="0031660F">
              <w:rPr>
                <w:rFonts w:cs="Arial-BoldMT"/>
                <w:b/>
                <w:bCs/>
              </w:rPr>
              <w:t xml:space="preserve">Ce programme est axé sur l’initiation aux compétitions.  Il est orienté sur les éléments de bases. L’évaluation suit le Code JO mais se veut légèrement  plus permissif que le programme provincial sur les notions d’élan et liaison. </w:t>
            </w:r>
          </w:p>
          <w:p w:rsidR="00EF0101" w:rsidRPr="0031660F" w:rsidRDefault="00EF0101" w:rsidP="00AA7528">
            <w:pPr>
              <w:autoSpaceDE w:val="0"/>
              <w:autoSpaceDN w:val="0"/>
              <w:adjustRightInd w:val="0"/>
              <w:rPr>
                <w:rFonts w:cs="ArialMT"/>
                <w:b/>
              </w:rPr>
            </w:pPr>
          </w:p>
        </w:tc>
      </w:tr>
      <w:tr w:rsidR="00EF0101" w:rsidTr="00EF0101">
        <w:tc>
          <w:tcPr>
            <w:tcW w:w="2122" w:type="dxa"/>
          </w:tcPr>
          <w:p w:rsidR="00EF0101" w:rsidRPr="00EF0101" w:rsidRDefault="00A22FE6" w:rsidP="00EF0101">
            <w:pPr>
              <w:rPr>
                <w:b/>
              </w:rPr>
            </w:pPr>
            <w:r>
              <w:rPr>
                <w:b/>
              </w:rPr>
              <w:t>Généralité</w:t>
            </w:r>
          </w:p>
        </w:tc>
        <w:tc>
          <w:tcPr>
            <w:tcW w:w="6508" w:type="dxa"/>
          </w:tcPr>
          <w:p w:rsidR="00EF0101" w:rsidRDefault="00A22FE6" w:rsidP="00A22FE6">
            <w:pPr>
              <w:rPr>
                <w:b/>
              </w:rPr>
            </w:pPr>
            <w:r>
              <w:rPr>
                <w:b/>
              </w:rPr>
              <w:t>Ce programme est un programme avec élément imposé présenté dans l’ordre ou non selon les spécifications.</w:t>
            </w:r>
          </w:p>
          <w:p w:rsidR="00A22FE6" w:rsidRPr="00EF0101" w:rsidRDefault="00A22FE6" w:rsidP="00A22FE6">
            <w:pPr>
              <w:rPr>
                <w:b/>
              </w:rPr>
            </w:pPr>
            <w:r>
              <w:rPr>
                <w:b/>
              </w:rPr>
              <w:t>Reprendre u</w:t>
            </w:r>
            <w:bookmarkStart w:id="0" w:name="_GoBack"/>
            <w:bookmarkEnd w:id="0"/>
            <w:r>
              <w:rPr>
                <w:b/>
              </w:rPr>
              <w:t>n élément n’est pas une pénalité en soi mais l’es fautes d’exécution seront prises en compte pour tous les éléments ou mouvements présentés</w:t>
            </w:r>
          </w:p>
        </w:tc>
      </w:tr>
      <w:tr w:rsidR="00EF0101" w:rsidTr="00EF0101">
        <w:tc>
          <w:tcPr>
            <w:tcW w:w="2122" w:type="dxa"/>
          </w:tcPr>
          <w:p w:rsidR="00EF0101" w:rsidRDefault="00EF0101" w:rsidP="00AA7528">
            <w:pPr>
              <w:autoSpaceDE w:val="0"/>
              <w:autoSpaceDN w:val="0"/>
              <w:adjustRightInd w:val="0"/>
              <w:rPr>
                <w:rFonts w:cs="ArialMT"/>
                <w:color w:val="333E48"/>
              </w:rPr>
            </w:pPr>
          </w:p>
        </w:tc>
        <w:tc>
          <w:tcPr>
            <w:tcW w:w="6508" w:type="dxa"/>
          </w:tcPr>
          <w:p w:rsidR="00EF0101" w:rsidRDefault="00EF0101" w:rsidP="00AA7528">
            <w:pPr>
              <w:autoSpaceDE w:val="0"/>
              <w:autoSpaceDN w:val="0"/>
              <w:adjustRightInd w:val="0"/>
              <w:rPr>
                <w:rFonts w:cs="ArialMT"/>
                <w:color w:val="333E48"/>
              </w:rPr>
            </w:pPr>
          </w:p>
        </w:tc>
      </w:tr>
      <w:tr w:rsidR="00EF0101" w:rsidTr="00EF0101">
        <w:tc>
          <w:tcPr>
            <w:tcW w:w="2122" w:type="dxa"/>
          </w:tcPr>
          <w:p w:rsidR="00EF0101" w:rsidRDefault="00EF0101" w:rsidP="00AA7528">
            <w:pPr>
              <w:autoSpaceDE w:val="0"/>
              <w:autoSpaceDN w:val="0"/>
              <w:adjustRightInd w:val="0"/>
              <w:rPr>
                <w:rFonts w:cs="ArialMT"/>
                <w:color w:val="333E48"/>
              </w:rPr>
            </w:pPr>
          </w:p>
        </w:tc>
        <w:tc>
          <w:tcPr>
            <w:tcW w:w="6508" w:type="dxa"/>
          </w:tcPr>
          <w:p w:rsidR="00EF0101" w:rsidRDefault="00EF0101" w:rsidP="00AA7528">
            <w:pPr>
              <w:autoSpaceDE w:val="0"/>
              <w:autoSpaceDN w:val="0"/>
              <w:adjustRightInd w:val="0"/>
              <w:rPr>
                <w:rFonts w:cs="ArialMT"/>
                <w:color w:val="333E48"/>
              </w:rPr>
            </w:pPr>
          </w:p>
        </w:tc>
      </w:tr>
    </w:tbl>
    <w:p w:rsidR="00AC0B66" w:rsidRPr="0065124A" w:rsidRDefault="00AC0B66" w:rsidP="00AA7528">
      <w:pPr>
        <w:autoSpaceDE w:val="0"/>
        <w:autoSpaceDN w:val="0"/>
        <w:adjustRightInd w:val="0"/>
        <w:spacing w:after="0" w:line="240" w:lineRule="auto"/>
        <w:rPr>
          <w:rFonts w:cs="ArialMT"/>
          <w:color w:val="333E48"/>
        </w:rPr>
      </w:pPr>
    </w:p>
    <w:p w:rsidR="00AC0B66" w:rsidRDefault="00AC0B66" w:rsidP="00AC0B66">
      <w:pPr>
        <w:autoSpaceDE w:val="0"/>
        <w:autoSpaceDN w:val="0"/>
        <w:adjustRightInd w:val="0"/>
        <w:spacing w:after="0" w:line="240" w:lineRule="auto"/>
        <w:rPr>
          <w:rFonts w:ascii="Arial-BoldMT" w:hAnsi="Arial-BoldMT" w:cs="Arial-BoldMT"/>
          <w:b/>
          <w:bCs/>
          <w:color w:val="333E48"/>
          <w:sz w:val="18"/>
          <w:szCs w:val="18"/>
        </w:rPr>
      </w:pPr>
    </w:p>
    <w:p w:rsidR="0065124A" w:rsidRDefault="0065124A" w:rsidP="00AC0B66">
      <w:pPr>
        <w:autoSpaceDE w:val="0"/>
        <w:autoSpaceDN w:val="0"/>
        <w:adjustRightInd w:val="0"/>
        <w:spacing w:after="0" w:line="240" w:lineRule="auto"/>
        <w:rPr>
          <w:rFonts w:ascii="Arial-BoldMT" w:hAnsi="Arial-BoldMT" w:cs="Arial-BoldMT"/>
          <w:b/>
          <w:bCs/>
          <w:color w:val="333E48"/>
          <w:sz w:val="18"/>
          <w:szCs w:val="18"/>
        </w:rPr>
      </w:pPr>
    </w:p>
    <w:p w:rsidR="0065124A" w:rsidRDefault="0065124A" w:rsidP="00AC0B66">
      <w:pPr>
        <w:autoSpaceDE w:val="0"/>
        <w:autoSpaceDN w:val="0"/>
        <w:adjustRightInd w:val="0"/>
        <w:spacing w:after="0" w:line="240" w:lineRule="auto"/>
        <w:rPr>
          <w:rFonts w:ascii="Arial-BoldMT" w:hAnsi="Arial-BoldMT" w:cs="Arial-BoldMT"/>
          <w:b/>
          <w:bCs/>
          <w:color w:val="333E48"/>
          <w:sz w:val="18"/>
          <w:szCs w:val="18"/>
        </w:rPr>
      </w:pPr>
    </w:p>
    <w:p w:rsidR="0065124A" w:rsidRDefault="0065124A" w:rsidP="00AC0B66">
      <w:pPr>
        <w:autoSpaceDE w:val="0"/>
        <w:autoSpaceDN w:val="0"/>
        <w:adjustRightInd w:val="0"/>
        <w:spacing w:after="0" w:line="240" w:lineRule="auto"/>
        <w:rPr>
          <w:rFonts w:ascii="Arial-BoldMT" w:hAnsi="Arial-BoldMT" w:cs="Arial-BoldMT"/>
          <w:b/>
          <w:bCs/>
          <w:color w:val="333E48"/>
          <w:sz w:val="18"/>
          <w:szCs w:val="18"/>
        </w:rPr>
      </w:pPr>
    </w:p>
    <w:p w:rsidR="0065124A" w:rsidRDefault="0065124A" w:rsidP="00AC0B66">
      <w:pPr>
        <w:autoSpaceDE w:val="0"/>
        <w:autoSpaceDN w:val="0"/>
        <w:adjustRightInd w:val="0"/>
        <w:spacing w:after="0" w:line="240" w:lineRule="auto"/>
        <w:rPr>
          <w:rFonts w:ascii="Arial-BoldMT" w:hAnsi="Arial-BoldMT" w:cs="Arial-BoldMT"/>
          <w:b/>
          <w:bCs/>
          <w:color w:val="333E48"/>
          <w:sz w:val="18"/>
          <w:szCs w:val="18"/>
        </w:rPr>
      </w:pPr>
    </w:p>
    <w:p w:rsidR="0065124A" w:rsidRPr="0065124A" w:rsidRDefault="0065124A" w:rsidP="00AC0B66">
      <w:pPr>
        <w:autoSpaceDE w:val="0"/>
        <w:autoSpaceDN w:val="0"/>
        <w:adjustRightInd w:val="0"/>
        <w:spacing w:after="0" w:line="240" w:lineRule="auto"/>
        <w:rPr>
          <w:rFonts w:cs="Arial-BoldMT"/>
          <w:b/>
          <w:bCs/>
          <w:color w:val="333E48"/>
        </w:rPr>
      </w:pPr>
    </w:p>
    <w:p w:rsidR="00AC0B66" w:rsidRPr="0065124A" w:rsidRDefault="00AC0B66" w:rsidP="00AC0B66"/>
    <w:sectPr w:rsidR="00AC0B66" w:rsidRPr="006512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28"/>
    <w:rsid w:val="002350CC"/>
    <w:rsid w:val="0031660F"/>
    <w:rsid w:val="0032134E"/>
    <w:rsid w:val="0065124A"/>
    <w:rsid w:val="007B01F7"/>
    <w:rsid w:val="0084438A"/>
    <w:rsid w:val="00A22FE6"/>
    <w:rsid w:val="00AA7528"/>
    <w:rsid w:val="00AC0B66"/>
    <w:rsid w:val="00EF01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6D33C-8D63-4AA2-BFF6-162CCB97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B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  Laliberté</dc:creator>
  <cp:keywords/>
  <dc:description/>
  <cp:lastModifiedBy>Hélèn  Laliberté</cp:lastModifiedBy>
  <cp:revision>2</cp:revision>
  <dcterms:created xsi:type="dcterms:W3CDTF">2020-01-07T13:34:00Z</dcterms:created>
  <dcterms:modified xsi:type="dcterms:W3CDTF">2020-01-07T13:34:00Z</dcterms:modified>
</cp:coreProperties>
</file>